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№886н от 17 ноября 2014 г.</w:t>
      </w:r>
    </w:p>
    <w:p>
      <w:pPr>
        <w:pStyle w:val="Heading2"/>
        <w:rPr/>
      </w:pPr>
      <w:r>
        <w:rPr/>
        <w:t>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В соответствии с подпунктом 5.2.97(16)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3577; N 29, ст. 4160; N 32, ст. 4499; N 36, ст. 4868), приказываю:</w:t>
      </w:r>
    </w:p>
    <w:p>
      <w:pPr>
        <w:pStyle w:val="TextBody"/>
        <w:rPr/>
      </w:pPr>
      <w:r>
        <w:rPr/>
        <w:t>1. Утвердить прилагаемый Порядок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содержание указанной информации и форму ее предоставления).</w:t>
      </w:r>
    </w:p>
    <w:p>
      <w:pPr>
        <w:pStyle w:val="TextBody"/>
        <w:rPr/>
      </w:pPr>
      <w:r>
        <w:rPr/>
        <w:t>2. Настоящий приказ вступает в силу с 1 января 2015 года.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